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7605"/>
        <w:gridCol w:w="7904"/>
      </w:tblGrid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58.11</w:t>
            </w:r>
          </w:p>
        </w:tc>
        <w:tc>
          <w:tcPr>
            <w:tcW w:w="7605" w:type="dxa"/>
          </w:tcPr>
          <w:p w:rsidR="00063106" w:rsidRPr="00F56318" w:rsidRDefault="00063106" w:rsidP="000506CA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Издание книг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Эта группировка включает: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 xml:space="preserve">- издание книг в печатном и электронном виде (на компакт-дисках, электронных носителях, в </w:t>
            </w:r>
            <w:proofErr w:type="spellStart"/>
            <w:r w:rsidRPr="001B2B10">
              <w:t>аудиоформате</w:t>
            </w:r>
            <w:proofErr w:type="spellEnd"/>
            <w:r w:rsidRPr="001B2B10">
              <w:t xml:space="preserve"> или в информационно-коммуникационной сети Интернет)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Эта группировка также включает: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- издание книг, брошюр, рекламных буклетов и аналогичных изданий, включая издание словарей и энциклопедий;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- издание атласов, карт и таблиц;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- издание звуковых книг;</w:t>
            </w:r>
          </w:p>
          <w:p w:rsidR="00063106" w:rsidRPr="001B2B10" w:rsidRDefault="00063106" w:rsidP="000506CA">
            <w:pPr>
              <w:pStyle w:val="ConsPlusNormal"/>
            </w:pPr>
            <w:r w:rsidRPr="001B2B10">
              <w:t>- издание энциклопедий и т.д. на CD-ROM и др.</w:t>
            </w:r>
          </w:p>
        </w:tc>
      </w:tr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58.11.1</w:t>
            </w:r>
          </w:p>
        </w:tc>
        <w:tc>
          <w:tcPr>
            <w:tcW w:w="7605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</w:tr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58.11.2</w:t>
            </w:r>
          </w:p>
        </w:tc>
        <w:tc>
          <w:tcPr>
            <w:tcW w:w="7605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</w:tr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58.11.3</w:t>
            </w:r>
          </w:p>
        </w:tc>
        <w:tc>
          <w:tcPr>
            <w:tcW w:w="7605" w:type="dxa"/>
          </w:tcPr>
          <w:p w:rsidR="00063106" w:rsidRPr="001B2B10" w:rsidRDefault="00063106" w:rsidP="000506CA">
            <w:pPr>
              <w:pStyle w:val="ConsPlusNormal"/>
            </w:pPr>
            <w:r w:rsidRPr="001B2B10">
              <w:t>Издание атласов, карт и таблиц, в том числе для слепых, в печатном виде</w:t>
            </w:r>
          </w:p>
        </w:tc>
      </w:tr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63106">
            <w:pPr>
              <w:pStyle w:val="ConsPlusNormal"/>
            </w:pPr>
            <w:r w:rsidRPr="001B2B10">
              <w:t>58.14</w:t>
            </w:r>
          </w:p>
        </w:tc>
        <w:tc>
          <w:tcPr>
            <w:tcW w:w="7605" w:type="dxa"/>
          </w:tcPr>
          <w:p w:rsidR="00063106" w:rsidRPr="00F56318" w:rsidRDefault="00063106" w:rsidP="00063106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Издание журналов и периодических изданий</w:t>
            </w:r>
          </w:p>
          <w:p w:rsidR="00063106" w:rsidRPr="001B2B10" w:rsidRDefault="00063106" w:rsidP="00063106">
            <w:pPr>
              <w:pStyle w:val="ConsPlusNormal"/>
            </w:pPr>
            <w:r w:rsidRPr="001B2B10">
              <w:t>Эта группировка включает:</w:t>
            </w:r>
          </w:p>
          <w:p w:rsidR="00063106" w:rsidRPr="001B2B10" w:rsidRDefault="00063106" w:rsidP="00063106">
            <w:pPr>
              <w:pStyle w:val="ConsPlusNormal"/>
            </w:pPr>
            <w:r w:rsidRPr="001B2B10">
              <w:t>- публикацию периодических изданий и журналов, выходящих реже четырех раз в неделю</w:t>
            </w:r>
          </w:p>
          <w:p w:rsidR="00063106" w:rsidRPr="001B2B10" w:rsidRDefault="00063106" w:rsidP="00063106">
            <w:pPr>
              <w:pStyle w:val="ConsPlusNormal"/>
            </w:pPr>
            <w:r w:rsidRPr="001B2B10">
              <w:t>Издание может осуществляться в печатной или электронной форме, включая публикацию в информационно-коммуникационной сети Интернет</w:t>
            </w:r>
          </w:p>
          <w:p w:rsidR="00063106" w:rsidRPr="001B2B10" w:rsidRDefault="00063106" w:rsidP="00063106">
            <w:pPr>
              <w:pStyle w:val="ConsPlusNormal"/>
            </w:pPr>
            <w:r w:rsidRPr="001B2B10">
              <w:t>Эта группировка также включает:</w:t>
            </w:r>
          </w:p>
          <w:p w:rsidR="00063106" w:rsidRPr="001B2B10" w:rsidRDefault="00063106" w:rsidP="00063106">
            <w:pPr>
              <w:pStyle w:val="ConsPlusNormal"/>
            </w:pPr>
            <w:r w:rsidRPr="001B2B10">
              <w:t>- издание программ радио- и телевизионных передач</w:t>
            </w:r>
          </w:p>
        </w:tc>
      </w:tr>
      <w:tr w:rsidR="00063106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063106" w:rsidRPr="001B2B10" w:rsidRDefault="00063106" w:rsidP="00063106">
            <w:pPr>
              <w:pStyle w:val="ConsPlusNormal"/>
            </w:pPr>
            <w:r w:rsidRPr="001B2B10">
              <w:t>58.14.1</w:t>
            </w:r>
          </w:p>
        </w:tc>
        <w:tc>
          <w:tcPr>
            <w:tcW w:w="7605" w:type="dxa"/>
          </w:tcPr>
          <w:p w:rsidR="00063106" w:rsidRDefault="00063106" w:rsidP="00063106">
            <w:pPr>
              <w:pStyle w:val="ConsPlusNormal"/>
            </w:pPr>
            <w:r w:rsidRPr="001B2B10">
              <w:t>Издание журналов и периодических публикаций в печатном виде</w:t>
            </w:r>
          </w:p>
          <w:p w:rsidR="00063106" w:rsidRPr="001B2B10" w:rsidRDefault="00063106" w:rsidP="00063106">
            <w:pPr>
              <w:pStyle w:val="ConsPlusNormal"/>
            </w:pPr>
          </w:p>
        </w:tc>
      </w:tr>
      <w:tr w:rsidR="00063106" w:rsidRPr="001B2B10" w:rsidTr="00F56318">
        <w:tc>
          <w:tcPr>
            <w:tcW w:w="9294" w:type="dxa"/>
            <w:gridSpan w:val="2"/>
          </w:tcPr>
          <w:p w:rsidR="00063106" w:rsidRPr="001B2B10" w:rsidRDefault="00063106" w:rsidP="00063106">
            <w:pPr>
              <w:pStyle w:val="ConsPlusNormal"/>
            </w:pPr>
            <w:r w:rsidRPr="001B2B10">
              <w:t>58.14.2</w:t>
            </w:r>
            <w:r>
              <w:t xml:space="preserve">                   </w:t>
            </w:r>
            <w:r w:rsidRPr="001B2B10">
              <w:t>Издание журналов и периодических публикаций на электронных носителях</w:t>
            </w:r>
            <w:r>
              <w:t xml:space="preserve">     </w:t>
            </w:r>
          </w:p>
        </w:tc>
        <w:tc>
          <w:tcPr>
            <w:tcW w:w="7904" w:type="dxa"/>
          </w:tcPr>
          <w:p w:rsidR="00063106" w:rsidRPr="001B2B10" w:rsidRDefault="00063106" w:rsidP="00063106">
            <w:pPr>
              <w:pStyle w:val="ConsPlusNormal"/>
              <w:ind w:left="-8020" w:firstLine="442"/>
            </w:pPr>
            <w:r w:rsidRPr="001B2B10">
              <w:t>Издание журналов и периодических публикаций на электронных носителях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72.19</w:t>
            </w:r>
          </w:p>
        </w:tc>
        <w:tc>
          <w:tcPr>
            <w:tcW w:w="7605" w:type="dxa"/>
          </w:tcPr>
          <w:p w:rsidR="004B5CAF" w:rsidRPr="00F56318" w:rsidRDefault="004B5CAF" w:rsidP="004B5CAF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включает: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исследования и экспериментальные разработки в области естественных и технических наук, кроме биотехнологических исследований и экспериментальных разработок: исследования и экспериментальные разработки в области естественных наук; исследования и экспериментальные разработки в области технических наук; исследования и экспериментальные разработки в области медицинских наук; исследования и экспериментальные разработки в области сельскохозяйственных наук; междисциплинарные исследования и разработки, преимущественно в области естественных и технических наук;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научные исследования и разработки в области нанотехнологий;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научные исследования и разработки в области защиты информации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9294" w:type="dxa"/>
            <w:gridSpan w:val="2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(в ред. Изменения 5/2016 ОКВЭД 2, утв. Приказом Росстандарта от 17.02.2016 N 40-ст)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72.19.2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Исключено с 1 ноября 2016 года. - Изменение 8/2016 ОКВЭД 2, утв. Приказом Росстандарта от 26.08.2016 N 947-ст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72.19.3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Научные исследования и разработки в области нанотехнологий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включает: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 xml:space="preserve">- научные исследования и разработки, направленные на развитие приемов и методов, применяемых при изучении, проектировании и производстве наноструктур, устройств и систем, включающих целенаправленный контроль и модификацию формы, размера, взаимодействия и интеграции составляющих их </w:t>
            </w:r>
            <w:proofErr w:type="spellStart"/>
            <w:r w:rsidRPr="001B2B10">
              <w:t>наномасштабных</w:t>
            </w:r>
            <w:proofErr w:type="spellEnd"/>
            <w:r w:rsidRPr="001B2B10">
              <w:t xml:space="preserve"> элементов (около 1-100 </w:t>
            </w:r>
            <w:proofErr w:type="spellStart"/>
            <w:r w:rsidRPr="001B2B10">
              <w:t>нм</w:t>
            </w:r>
            <w:proofErr w:type="spellEnd"/>
            <w:r w:rsidRPr="001B2B10">
              <w:t>), наличие которых приводит к улучшению либо к появлению дополнительных эксплуатационных и/или потребительских характеристик и свойств получаемых продуктов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lastRenderedPageBreak/>
              <w:t>Эта группировка не включает: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 xml:space="preserve">- исследования и разработки в области </w:t>
            </w:r>
            <w:proofErr w:type="spellStart"/>
            <w:r w:rsidRPr="001B2B10">
              <w:t>нанобиотехнологии</w:t>
            </w:r>
            <w:proofErr w:type="spellEnd"/>
            <w:r w:rsidRPr="001B2B10">
              <w:t xml:space="preserve">, см. </w:t>
            </w:r>
            <w:hyperlink w:anchor="Par10207" w:tooltip="72.11" w:history="1">
              <w:r w:rsidRPr="001B2B10">
                <w:rPr>
                  <w:color w:val="0000FF"/>
                </w:rPr>
                <w:t>72.11</w:t>
              </w:r>
            </w:hyperlink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lastRenderedPageBreak/>
              <w:t>72.19.4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Научные исследования и разработки в области защиты информации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включает научные исследования, направленные на развитие (совершенствование) методов защиты информации, и разработки по созданию новых и/или модернизации существующих образцов средств защиты информации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9294" w:type="dxa"/>
            <w:gridSpan w:val="2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(введено Изменением 5/2016 ОКВЭД 2, утв. Приказом Росстандарта от 17.02.2016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N 40-ст)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72.19.9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9294" w:type="dxa"/>
            <w:gridSpan w:val="2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(введено Изменением 8/2016 ОКВЭД 2, утв. Приказом Росстандарта от 26.08.2016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N 947-ст)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72.19.11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Проведение фундаментальных исследований, научно-исследовательских и опытно-конструкторских работ в области использования атомной энергии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9294" w:type="dxa"/>
            <w:gridSpan w:val="2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(введено Изменением 8/2016 ОКВЭД 2, утв. Приказом Росстандарта от 26.08.2016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N 947-ст)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72.19.12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Научные исследования и разработки в области ядерной оружейной продукции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Эта группировка включает научные исследования и разработку, в том числе проведение фундаментальных, поисковых, научно-исследовательских, опытно-конструкторских и технологических работ: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- оружия на основе ядерных оружейных технологий, его составных частей, образцов, макетов, учебно-тренировочных средств;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- ядерных энергетических установок военного назначения и их наземных стендов-прототипов;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- комплексов, установок, стендов и другого испытательного и производственно-технологического оборудования для разработки, изготовления, эксплуатации и ликвидации оружия на основе ядерных оружейных технологий, ядерных энергетических установок военного назначения и их наземных стендов-прототипов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9294" w:type="dxa"/>
            <w:gridSpan w:val="2"/>
          </w:tcPr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(введено Изменением 8/2016 ОКВЭД 2, утв. Приказом Росстандарта от 26.08.2016</w:t>
            </w:r>
          </w:p>
          <w:p w:rsidR="004B5CAF" w:rsidRPr="001B2B10" w:rsidRDefault="004B5CAF" w:rsidP="004B5CAF">
            <w:pPr>
              <w:pStyle w:val="ConsPlusNormal"/>
              <w:jc w:val="both"/>
            </w:pPr>
            <w:r w:rsidRPr="001B2B10">
              <w:t>N 947-ст)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72.2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Научные исследования и разработки в области общественных и гуманитарных наук</w:t>
            </w:r>
          </w:p>
        </w:tc>
      </w:tr>
      <w:tr w:rsidR="004B5CAF" w:rsidRPr="001B2B10" w:rsidTr="00F56318">
        <w:trPr>
          <w:gridAfter w:val="1"/>
          <w:wAfter w:w="7904" w:type="dxa"/>
          <w:trHeight w:val="2518"/>
        </w:trPr>
        <w:tc>
          <w:tcPr>
            <w:tcW w:w="1689" w:type="dxa"/>
          </w:tcPr>
          <w:p w:rsidR="004B5CAF" w:rsidRDefault="004B5CAF" w:rsidP="004B5CAF">
            <w:pPr>
              <w:pStyle w:val="ConsPlusNormal"/>
            </w:pPr>
            <w:r w:rsidRPr="001B2B10">
              <w:t>72.20</w:t>
            </w: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Pr="001B2B10" w:rsidRDefault="004B5CAF" w:rsidP="004B5CAF">
            <w:pPr>
              <w:pStyle w:val="ConsPlusNormal"/>
            </w:pPr>
            <w:r>
              <w:t>72.20.1</w:t>
            </w:r>
          </w:p>
        </w:tc>
        <w:tc>
          <w:tcPr>
            <w:tcW w:w="7605" w:type="dxa"/>
          </w:tcPr>
          <w:p w:rsidR="004B5CAF" w:rsidRPr="00F56318" w:rsidRDefault="004B5CAF" w:rsidP="004B5CAF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Научные исследования и разработки в области общественных и гуманитарных наук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включает: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исследования и разработки в области общественных наук;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исследования и разработки в области гуманитарных наук;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междисциплинарные исследования и разработки, преимущественно в области общественных и гуманитарных наук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не включает:</w:t>
            </w:r>
          </w:p>
          <w:p w:rsidR="004B5CAF" w:rsidRDefault="004B5CAF" w:rsidP="004B5CAF">
            <w:pPr>
              <w:pStyle w:val="ConsPlusNormal"/>
            </w:pPr>
            <w:r w:rsidRPr="001B2B10">
              <w:t xml:space="preserve">- исследование конъюнктуры рынка, см. </w:t>
            </w:r>
            <w:hyperlink w:anchor="Par10289" w:tooltip="73.20" w:history="1">
              <w:r w:rsidRPr="001B2B10">
                <w:rPr>
                  <w:color w:val="0000FF"/>
                </w:rPr>
                <w:t>73.20</w:t>
              </w:r>
            </w:hyperlink>
          </w:p>
          <w:p w:rsidR="004B5CAF" w:rsidRDefault="004B5CAF" w:rsidP="004B5CAF">
            <w:pPr>
              <w:pStyle w:val="ConsPlusNormal"/>
            </w:pPr>
          </w:p>
          <w:p w:rsidR="004B5CAF" w:rsidRPr="001B2B10" w:rsidRDefault="004B5CAF" w:rsidP="004B5CAF">
            <w:pPr>
              <w:pStyle w:val="ConsPlusNormal"/>
            </w:pPr>
            <w:r>
              <w:t>Научные исследования и разработки в области общественных наук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72.20.2</w:t>
            </w:r>
          </w:p>
        </w:tc>
        <w:tc>
          <w:tcPr>
            <w:tcW w:w="7605" w:type="dxa"/>
          </w:tcPr>
          <w:p w:rsidR="004B5CAF" w:rsidRPr="001B2B10" w:rsidRDefault="004B5CAF" w:rsidP="004B5CAF">
            <w:pPr>
              <w:pStyle w:val="ConsPlusNormal"/>
            </w:pPr>
            <w:r w:rsidRPr="001B2B10">
              <w:t>Научные исследования и разработки в области гуманитарных наук</w:t>
            </w:r>
          </w:p>
        </w:tc>
      </w:tr>
      <w:tr w:rsidR="004B5CAF" w:rsidRPr="001B2B10" w:rsidTr="00F56318">
        <w:trPr>
          <w:gridAfter w:val="1"/>
          <w:wAfter w:w="7904" w:type="dxa"/>
        </w:trPr>
        <w:tc>
          <w:tcPr>
            <w:tcW w:w="1689" w:type="dxa"/>
          </w:tcPr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Pr="001B2B10" w:rsidRDefault="004B5CAF" w:rsidP="004B5CAF">
            <w:pPr>
              <w:pStyle w:val="ConsPlusNormal"/>
            </w:pPr>
            <w:r w:rsidRPr="001B2B10">
              <w:t>94.99</w:t>
            </w:r>
          </w:p>
        </w:tc>
        <w:tc>
          <w:tcPr>
            <w:tcW w:w="7605" w:type="dxa"/>
          </w:tcPr>
          <w:p w:rsidR="004B5CAF" w:rsidRDefault="004B5CAF" w:rsidP="004B5CAF">
            <w:pPr>
              <w:pStyle w:val="ConsPlusNormal"/>
            </w:pPr>
          </w:p>
          <w:p w:rsidR="004B5CAF" w:rsidRDefault="004B5CAF" w:rsidP="004B5CAF">
            <w:pPr>
              <w:pStyle w:val="ConsPlusNormal"/>
            </w:pPr>
          </w:p>
          <w:p w:rsidR="004B5CAF" w:rsidRPr="00F56318" w:rsidRDefault="004B5CAF" w:rsidP="004B5CAF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  <w:p w:rsidR="004B5CAF" w:rsidRPr="001B2B10" w:rsidRDefault="004B5CAF" w:rsidP="004B5CAF">
            <w:pPr>
              <w:pStyle w:val="ConsPlusNormal"/>
            </w:pPr>
            <w:r w:rsidRPr="00F56318">
              <w:rPr>
                <w:b/>
                <w:color w:val="FF0000"/>
              </w:rPr>
              <w:t>Эта группировка включает</w:t>
            </w:r>
            <w:r w:rsidRPr="001B2B10">
              <w:t>:</w:t>
            </w:r>
            <w:bookmarkStart w:id="0" w:name="_GoBack"/>
            <w:bookmarkEnd w:id="0"/>
          </w:p>
          <w:p w:rsidR="004B5CAF" w:rsidRPr="001B2B10" w:rsidRDefault="004B5CAF" w:rsidP="004B5CAF">
            <w:pPr>
              <w:pStyle w:val="ConsPlusNormal"/>
            </w:pPr>
            <w:r w:rsidRPr="001B2B10">
              <w:lastRenderedPageBreak/>
              <w:t>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т.д.;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по формированию гражданских инициатив или движений протеста;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экологических и природоохранных движений;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организаций общественной поддержки и просвещения;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организаций по защите и улучшению положения социальных групп населения, например этнических групп и меньшинств;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патриотических ассоциаций, включая ассоциации ветеранов войны;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ассоциации потребителей;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ассоциации автомобилистов;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ассоциации общественных связей, включая клубы знакомств и т.д.;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молодежных организаций, студенческих ассоциаций, молодежных клубов и товарищества по интересам и т.д.;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деятельность организаций культурной и развлекательной направленности (кроме спортивных организаций), например клубы любителей поэзии, литературы и клубы книголюбов, исторические клубы, клубы озеленителей, клубы фотолюбителей и кинолюбителей, музыкальные и художественные клубы, клубы ремесленников и коллекционеров, карнавальные клубы и т.д.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Эта группировка также включает:</w:t>
            </w:r>
          </w:p>
          <w:p w:rsidR="004B5CAF" w:rsidRPr="001B2B10" w:rsidRDefault="004B5CAF" w:rsidP="004B5CAF">
            <w:pPr>
              <w:pStyle w:val="ConsPlusNormal"/>
            </w:pPr>
            <w:r w:rsidRPr="001B2B10">
              <w:t>- раздачу подарков членскими организациями или другими организациями</w:t>
            </w:r>
          </w:p>
        </w:tc>
      </w:tr>
    </w:tbl>
    <w:p w:rsidR="00D93BE3" w:rsidRDefault="00D93BE3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7904"/>
      </w:tblGrid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</w:t>
            </w:r>
          </w:p>
        </w:tc>
        <w:tc>
          <w:tcPr>
            <w:tcW w:w="7904" w:type="dxa"/>
          </w:tcPr>
          <w:p w:rsidR="00504125" w:rsidRPr="00F56318" w:rsidRDefault="00504125" w:rsidP="00801C03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Технические испытания, исследования, анализ и сертификация</w:t>
            </w:r>
          </w:p>
          <w:p w:rsidR="00504125" w:rsidRPr="00F56318" w:rsidRDefault="00504125" w:rsidP="00801C03">
            <w:pPr>
              <w:pStyle w:val="ConsPlusNormal"/>
              <w:rPr>
                <w:b/>
                <w:color w:val="FF0000"/>
              </w:rPr>
            </w:pPr>
            <w:r w:rsidRPr="00F56318">
              <w:rPr>
                <w:b/>
                <w:color w:val="FF0000"/>
              </w:rPr>
              <w:t>Эта группировка включает: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выполнение физических, химических и прочих аналитических исследований всех видов материалов и веществ, таких как: акустические и вибрационные испытания, испытания и анализ состава минералов и содержания примесей, испытания и анализ в области гигиены питания, включая ветеринарный контроль и контроль за производством продуктов питания, испытания и анализ физических свойств материалов, таких как геометрические размеры, износостойкость, радиоактивность и т.п., испытания качества и надежности изделий, испытания работоспособности готовой продукции: моторов, автомобилей, электронных устройств и т.д., неразрушающие испытания и анализ сварных швов и стыков, испытания и анализ на наличие повреждений;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испытания и расчеты экологических показателей: загрязнения воздуха, воды и т.д.;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сертификацию продукции, включая товары народного потребления, автомобили, летательные аппараты, резервуары давления, ядерные установки и т.д.;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регулярные испытания и анализ безопасности автомобильных дорог;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испытания и анализ с использованием моделей или макетов транспортных и других средств (например, самолетов, ракет, судов, дамб и т.д.);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деятельность в области обеспечения безопасности лабораторий.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Эта группировка также включает: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- летные испытания авиационной, ракетной и космической техники;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судебно-экспертную деятельность</w:t>
            </w:r>
          </w:p>
        </w:tc>
      </w:tr>
      <w:tr w:rsidR="00504125" w:rsidRPr="001B2B10" w:rsidTr="00801C03">
        <w:tc>
          <w:tcPr>
            <w:tcW w:w="9593" w:type="dxa"/>
            <w:gridSpan w:val="2"/>
          </w:tcPr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(в ред. Изменения 10/2016 ОКВЭД2, утв. Приказом Росстандарта от 07.10.2016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N 1324-ст)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71.20.1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71.20.2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Судебно-экспертная деятельность</w:t>
            </w:r>
          </w:p>
        </w:tc>
      </w:tr>
      <w:tr w:rsidR="00504125" w:rsidRPr="001B2B10" w:rsidTr="00801C03">
        <w:tc>
          <w:tcPr>
            <w:tcW w:w="9593" w:type="dxa"/>
            <w:gridSpan w:val="2"/>
          </w:tcPr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(в ред. Изменения 10/2016 ОКВЭД2, утв. Приказом Росстандарта от 07.10.2016</w:t>
            </w:r>
          </w:p>
          <w:p w:rsidR="00504125" w:rsidRPr="001B2B10" w:rsidRDefault="00504125" w:rsidP="00801C03">
            <w:pPr>
              <w:pStyle w:val="ConsPlusNormal"/>
              <w:jc w:val="both"/>
            </w:pPr>
            <w:r w:rsidRPr="001B2B10">
              <w:t>N 1324-ст)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lastRenderedPageBreak/>
              <w:t>71.20.3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Испытания и анализ физико-механических свойств материалов и веществ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71.20.4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71.20.5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Технический осмотр автотранспортных средств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71.20.6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Экспертиза проектной документации и результатов инженерных изысканий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71.20.61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Экспертиза проектной документации и результатов инженерных изысканий государственная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71.20.62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Экспертиза проектной документации и результатов инженерных изысканий негосударственная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71.20.7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Деятельность по оценке условий труда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71.20.8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Сертификация продукции, услуг и организаций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71.20.9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Деятельность по техническому контролю, испытаниям и анализу прочая</w:t>
            </w:r>
          </w:p>
        </w:tc>
      </w:tr>
    </w:tbl>
    <w:p w:rsidR="00E53920" w:rsidRDefault="00E5392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7904"/>
      </w:tblGrid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73.20</w:t>
            </w:r>
          </w:p>
        </w:tc>
        <w:tc>
          <w:tcPr>
            <w:tcW w:w="7904" w:type="dxa"/>
          </w:tcPr>
          <w:p w:rsidR="00504125" w:rsidRPr="00F56318" w:rsidRDefault="00504125" w:rsidP="00801C03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Исследование конъюнктуры рынка и изучение общественного мнения</w:t>
            </w:r>
          </w:p>
          <w:p w:rsidR="00504125" w:rsidRPr="00F56318" w:rsidRDefault="00504125" w:rsidP="00801C03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Эта группировка включает: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производства, технологий и структуры фирмы, а также представляемой фирмой на рынок продукции или услуг к спросу и требованиям конечного потребителя;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изучение общественного мнения по политическим, экономическим и социальным вопросам, включая статистический анализ получаемой информации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73.20.1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Исследование конъюнктуры рынка</w:t>
            </w:r>
          </w:p>
        </w:tc>
      </w:tr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73.20.2</w:t>
            </w:r>
          </w:p>
        </w:tc>
        <w:tc>
          <w:tcPr>
            <w:tcW w:w="7904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Деятельность по изучению общественного мнения</w:t>
            </w:r>
          </w:p>
        </w:tc>
      </w:tr>
    </w:tbl>
    <w:p w:rsidR="00504125" w:rsidRDefault="0050412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7904"/>
      </w:tblGrid>
      <w:tr w:rsidR="00504125" w:rsidRPr="001B2B10" w:rsidTr="00801C03">
        <w:tc>
          <w:tcPr>
            <w:tcW w:w="1689" w:type="dxa"/>
          </w:tcPr>
          <w:p w:rsidR="00504125" w:rsidRPr="001B2B10" w:rsidRDefault="00504125" w:rsidP="00801C03">
            <w:pPr>
              <w:pStyle w:val="ConsPlusNormal"/>
            </w:pPr>
            <w:r w:rsidRPr="001B2B10">
              <w:t>84.22</w:t>
            </w:r>
          </w:p>
        </w:tc>
        <w:tc>
          <w:tcPr>
            <w:tcW w:w="7904" w:type="dxa"/>
          </w:tcPr>
          <w:p w:rsidR="00504125" w:rsidRPr="00F56318" w:rsidRDefault="00504125" w:rsidP="00801C03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Деятельность, связанная с обеспечением военной безопасности</w:t>
            </w:r>
          </w:p>
          <w:p w:rsidR="00504125" w:rsidRPr="00F56318" w:rsidRDefault="00504125" w:rsidP="00801C03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F56318">
              <w:rPr>
                <w:b/>
                <w:color w:val="FF0000"/>
                <w:sz w:val="24"/>
                <w:szCs w:val="24"/>
              </w:rPr>
              <w:t>Эта группировка включает: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управление, контроль и регулирование вопросов, связанных с обороной и деятельностью сухопутных, морских, воздушных и космических вооруженных сил: боевых частей сухопутных сил, морского флота и военно-воздушных сил, инженерных и транспортных войск, связи, разведки, материально-технического обеспечения, личного состава штабов, резервных и вспомогательных сил оборонного учреждения, военной логистикой (обеспечение военной техникой, продовольствием и снаряжением, инженерно-техническими сооружениями и т.п.), медицинским обслуживанием личного состава армии в полевых условиях;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управление, обеспечение функционирования и поддержки сил гражданской обороны;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>- управление исследованиями, стратегиями развития и общественными фондами, направленными на обеспечение национальной безопасности;</w:t>
            </w:r>
          </w:p>
          <w:p w:rsidR="00504125" w:rsidRPr="001B2B10" w:rsidRDefault="00504125" w:rsidP="00801C03">
            <w:pPr>
              <w:pStyle w:val="ConsPlusNormal"/>
            </w:pPr>
            <w:r w:rsidRPr="001B2B10">
              <w:t xml:space="preserve">- деятельность в области гражданской обороны в организациях, эксплуатирующих опасные производственные объекты I и II классов опасности, </w:t>
            </w:r>
            <w:proofErr w:type="spellStart"/>
            <w:r w:rsidRPr="001B2B10">
              <w:t>радиационно</w:t>
            </w:r>
            <w:proofErr w:type="spellEnd"/>
            <w:r w:rsidRPr="001B2B10">
              <w:t xml:space="preserve"> опасных и </w:t>
            </w:r>
            <w:proofErr w:type="spellStart"/>
            <w:r w:rsidRPr="001B2B10">
              <w:t>ядерно</w:t>
            </w:r>
            <w:proofErr w:type="spellEnd"/>
            <w:r w:rsidRPr="001B2B10">
              <w:t xml:space="preserve"> опасных производств и объектов, гидротехнических сооружений высокой опасности.</w:t>
            </w:r>
          </w:p>
          <w:p w:rsidR="00504125" w:rsidRPr="001B2B10" w:rsidRDefault="00504125" w:rsidP="00801C03">
            <w:pPr>
              <w:pStyle w:val="ConsPlusNormal"/>
            </w:pPr>
          </w:p>
        </w:tc>
      </w:tr>
    </w:tbl>
    <w:p w:rsidR="00E53920" w:rsidRDefault="00E53920"/>
    <w:sectPr w:rsidR="00E53920" w:rsidSect="00F563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0"/>
    <w:rsid w:val="00063106"/>
    <w:rsid w:val="00414D4D"/>
    <w:rsid w:val="004B5CAF"/>
    <w:rsid w:val="00504125"/>
    <w:rsid w:val="007D2F60"/>
    <w:rsid w:val="008938A7"/>
    <w:rsid w:val="00A72194"/>
    <w:rsid w:val="00D72B76"/>
    <w:rsid w:val="00D93BE3"/>
    <w:rsid w:val="00E53920"/>
    <w:rsid w:val="00F56318"/>
    <w:rsid w:val="00F6618E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44EEC-9EC9-4117-9B31-B779DDE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9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5392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28AC-B0BA-4822-84DF-7F0DB3E6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 --------------</dc:creator>
  <cp:keywords/>
  <dc:description/>
  <cp:lastModifiedBy>-------------------- --------------</cp:lastModifiedBy>
  <cp:revision>2</cp:revision>
  <dcterms:created xsi:type="dcterms:W3CDTF">2019-02-15T03:57:00Z</dcterms:created>
  <dcterms:modified xsi:type="dcterms:W3CDTF">2019-02-15T03:57:00Z</dcterms:modified>
</cp:coreProperties>
</file>